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787DFE">
        <w:rPr>
          <w:rFonts w:cs="Times New Roman"/>
          <w:color w:val="000000" w:themeColor="text1"/>
          <w:sz w:val="24"/>
          <w:szCs w:val="24"/>
        </w:rPr>
        <w:t>…..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.</w:t>
      </w:r>
      <w:r w:rsidRPr="00787DF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787D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787DFE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B208AA" w:rsidRDefault="00C258CD" w:rsidP="00912179">
      <w:pPr>
        <w:rPr>
          <w:rFonts w:ascii="Arial" w:hAnsi="Arial" w:cs="Arial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 xml:space="preserve">По адресу    </w:t>
      </w:r>
      <w:r w:rsidRPr="00B208A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  <w:r w:rsidR="00787DFE" w:rsidRPr="00B208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7BF9" w:rsidRPr="00B208AA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 xml:space="preserve"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</w:t>
      </w:r>
      <w:r w:rsidR="00B208AA" w:rsidRPr="00B208AA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отсутствует ремонт фасада</w:t>
      </w:r>
      <w:r w:rsidR="00167BF9" w:rsidRPr="00B208AA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lastRenderedPageBreak/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787DFE">
        <w:rPr>
          <w:rFonts w:ascii="Arial" w:hAnsi="Arial" w:cs="Arial"/>
          <w:color w:val="000000" w:themeColor="text1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87DFE">
        <w:rPr>
          <w:rFonts w:ascii="Arial" w:hAnsi="Arial" w:cs="Arial"/>
          <w:color w:val="000000" w:themeColor="text1"/>
        </w:rP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, </w:t>
      </w:r>
      <w:proofErr w:type="gramStart"/>
      <w:r w:rsidRPr="00787DFE">
        <w:rPr>
          <w:rFonts w:ascii="Arial" w:hAnsi="Arial" w:cs="Arial"/>
          <w:color w:val="000000" w:themeColor="text1"/>
        </w:rPr>
        <w:t>направленную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</w:t>
      </w:r>
      <w:r w:rsidRPr="00787DFE">
        <w:rPr>
          <w:rFonts w:ascii="Arial" w:hAnsi="Arial" w:cs="Arial"/>
          <w:color w:val="000000" w:themeColor="text1"/>
        </w:rPr>
        <w:lastRenderedPageBreak/>
        <w:t>оснащенности помещений многоквартирных домов и жилых домов приборами учета используемых энергетических ресурсов».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Кроме того, в соответствии со статьей 28.4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работ, установить сроки их исполнения;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 xml:space="preserve">- возбудить административное производство по статье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РФ, установить виновных лиц и привлечь их административной ответственности.</w:t>
      </w:r>
    </w:p>
    <w:p w:rsidR="006567FD" w:rsidRPr="00787DFE" w:rsidRDefault="006567FD" w:rsidP="00787DFE">
      <w:pPr>
        <w:rPr>
          <w:rFonts w:cs="Times New Roman"/>
          <w:color w:val="000000" w:themeColor="text1"/>
          <w:sz w:val="24"/>
          <w:szCs w:val="24"/>
        </w:rPr>
      </w:pPr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26" w:rsidRDefault="003E6126" w:rsidP="00414FFB">
      <w:pPr>
        <w:spacing w:after="0" w:line="240" w:lineRule="auto"/>
      </w:pPr>
      <w:r>
        <w:separator/>
      </w:r>
    </w:p>
  </w:endnote>
  <w:endnote w:type="continuationSeparator" w:id="0">
    <w:p w:rsidR="003E6126" w:rsidRDefault="003E6126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26" w:rsidRDefault="003E6126" w:rsidP="00414FFB">
      <w:pPr>
        <w:spacing w:after="0" w:line="240" w:lineRule="auto"/>
      </w:pPr>
      <w:r>
        <w:separator/>
      </w:r>
    </w:p>
  </w:footnote>
  <w:footnote w:type="continuationSeparator" w:id="0">
    <w:p w:rsidR="003E6126" w:rsidRDefault="003E6126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67BF9"/>
    <w:rsid w:val="001C075F"/>
    <w:rsid w:val="00235C61"/>
    <w:rsid w:val="003E6126"/>
    <w:rsid w:val="00414FFB"/>
    <w:rsid w:val="00472AAC"/>
    <w:rsid w:val="004C1294"/>
    <w:rsid w:val="00517ADF"/>
    <w:rsid w:val="006567FD"/>
    <w:rsid w:val="006621AB"/>
    <w:rsid w:val="006A593B"/>
    <w:rsid w:val="00774CD3"/>
    <w:rsid w:val="00787DFE"/>
    <w:rsid w:val="007B5603"/>
    <w:rsid w:val="00912179"/>
    <w:rsid w:val="00B208AA"/>
    <w:rsid w:val="00C2249B"/>
    <w:rsid w:val="00C258CD"/>
    <w:rsid w:val="00D20178"/>
    <w:rsid w:val="00DE466B"/>
    <w:rsid w:val="00E006DB"/>
    <w:rsid w:val="00E54158"/>
    <w:rsid w:val="00E6392E"/>
    <w:rsid w:val="00EE16F9"/>
    <w:rsid w:val="00EF5E86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2015-10-04T08:56:00Z</dcterms:created>
  <dcterms:modified xsi:type="dcterms:W3CDTF">2015-10-14T09:51:00Z</dcterms:modified>
</cp:coreProperties>
</file>